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C8" w:rsidRDefault="00B077C8" w:rsidP="00B077C8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表</w:t>
      </w:r>
      <w:r>
        <w:rPr>
          <w:rFonts w:ascii="黑体" w:eastAsia="黑体"/>
          <w:sz w:val="28"/>
        </w:rPr>
        <w:t>1</w:t>
      </w:r>
      <w:r w:rsidRPr="00B077C8">
        <w:rPr>
          <w:rFonts w:ascii="黑体" w:eastAsia="黑体"/>
          <w:sz w:val="28"/>
        </w:rPr>
        <w:t>城镇污水深度处理与资源化利用技术国家工程实验室</w:t>
      </w:r>
      <w:r>
        <w:rPr>
          <w:rFonts w:ascii="黑体" w:eastAsia="黑体" w:hint="eastAsia"/>
          <w:sz w:val="28"/>
        </w:rPr>
        <w:t>开放基金课题完成论著目录</w:t>
      </w:r>
    </w:p>
    <w:tbl>
      <w:tblPr>
        <w:tblW w:w="4881" w:type="pct"/>
        <w:jc w:val="center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2"/>
        <w:gridCol w:w="2303"/>
        <w:gridCol w:w="2303"/>
        <w:gridCol w:w="1611"/>
        <w:gridCol w:w="1857"/>
        <w:gridCol w:w="1373"/>
        <w:gridCol w:w="1608"/>
      </w:tblGrid>
      <w:tr w:rsidR="00B077C8" w:rsidRPr="00B5631A" w:rsidTr="00324775">
        <w:trPr>
          <w:trHeight w:val="71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54532E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54532E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论文（专著）名称类别</w:t>
            </w:r>
          </w:p>
        </w:tc>
        <w:tc>
          <w:tcPr>
            <w:tcW w:w="832" w:type="pct"/>
            <w:vAlign w:val="center"/>
          </w:tcPr>
          <w:p w:rsidR="00B077C8" w:rsidRPr="0054532E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所有</w:t>
            </w:r>
            <w:r w:rsidRPr="0054532E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作者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54532E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54532E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期刊（出版社）名称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54532E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年、</w:t>
            </w:r>
            <w:r w:rsidRPr="0054532E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卷、期</w:t>
            </w: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（或章节）</w:t>
            </w:r>
            <w:r w:rsidRPr="0054532E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、页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54532E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收录</w:t>
            </w:r>
            <w:r>
              <w:rPr>
                <w:rFonts w:ascii="Arial Unicode MS" w:hAnsi="Arial Unicode MS" w:cs="Arial Unicode MS" w:hint="eastAsia"/>
                <w:b/>
                <w:kern w:val="0"/>
                <w:sz w:val="20"/>
              </w:rPr>
              <w:t>类</w:t>
            </w: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别（SCI、EI）</w:t>
            </w:r>
          </w:p>
        </w:tc>
        <w:tc>
          <w:tcPr>
            <w:tcW w:w="496" w:type="pct"/>
            <w:vAlign w:val="center"/>
          </w:tcPr>
          <w:p w:rsidR="00B077C8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标注实验室方式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54532E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论文检索号</w:t>
            </w:r>
          </w:p>
        </w:tc>
      </w:tr>
      <w:tr w:rsidR="00B077C8" w:rsidRPr="00371EBB" w:rsidTr="00324775">
        <w:trPr>
          <w:trHeight w:val="866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8276A0" w:rsidRDefault="00B077C8" w:rsidP="00324775">
            <w:pPr>
              <w:widowControl/>
              <w:spacing w:line="240" w:lineRule="exact"/>
              <w:jc w:val="center"/>
              <w:rPr>
                <w:rFonts w:ascii="宋体" w:hAnsi="宋体" w:cs="Arial Unicode MS"/>
                <w:kern w:val="0"/>
                <w:szCs w:val="21"/>
              </w:rPr>
            </w:pPr>
            <w:r w:rsidRPr="008276A0">
              <w:rPr>
                <w:rFonts w:ascii="宋体" w:hAnsi="宋体" w:cs="Arial Unicode MS"/>
                <w:kern w:val="0"/>
                <w:szCs w:val="21"/>
              </w:rPr>
              <w:t>例</w:t>
            </w:r>
            <w:r w:rsidRPr="008276A0">
              <w:rPr>
                <w:rFonts w:ascii="宋体" w:hAnsi="宋体" w:cs="Arial Unicode MS" w:hint="eastAsia"/>
                <w:kern w:val="0"/>
                <w:szCs w:val="21"/>
              </w:rPr>
              <w:t>：</w:t>
            </w:r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Discrete element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modelling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on the crack evolution behavior of brittle sandstone containing three fissures under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uniaxial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compression</w:t>
            </w:r>
          </w:p>
        </w:tc>
        <w:tc>
          <w:tcPr>
            <w:tcW w:w="832" w:type="pct"/>
            <w:vAlign w:val="center"/>
          </w:tcPr>
          <w:p w:rsidR="00B077C8" w:rsidRPr="008276A0" w:rsidRDefault="00B077C8" w:rsidP="00324775">
            <w:pPr>
              <w:widowControl/>
              <w:spacing w:line="240" w:lineRule="exact"/>
              <w:jc w:val="center"/>
              <w:rPr>
                <w:rFonts w:ascii="宋体" w:hAnsi="宋体" w:cs="Arial Unicode MS"/>
                <w:kern w:val="0"/>
                <w:szCs w:val="21"/>
              </w:rPr>
            </w:pP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Sheng-Qi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Yang , Yan-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Hua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Huang ,  P. G.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Ranjith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, Yu-Yong Jiao ,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Jian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Ji</w:t>
            </w:r>
            <w:proofErr w:type="spellEnd"/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8276A0" w:rsidRDefault="00B077C8" w:rsidP="00324775">
            <w:pPr>
              <w:widowControl/>
              <w:spacing w:line="240" w:lineRule="exact"/>
              <w:jc w:val="center"/>
              <w:rPr>
                <w:rFonts w:ascii="宋体" w:hAnsi="宋体" w:cs="Arial Unicode MS"/>
                <w:kern w:val="0"/>
                <w:szCs w:val="21"/>
              </w:rPr>
            </w:pP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Acta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Mechanica</w:t>
            </w:r>
            <w:proofErr w:type="spellEnd"/>
            <w:r w:rsidRPr="008276A0">
              <w:rPr>
                <w:rFonts w:ascii="宋体" w:hAnsi="宋体" w:cs="Arial Unicode MS"/>
                <w:kern w:val="0"/>
                <w:szCs w:val="21"/>
              </w:rPr>
              <w:t xml:space="preserve"> </w:t>
            </w:r>
            <w:proofErr w:type="spellStart"/>
            <w:r w:rsidRPr="008276A0">
              <w:rPr>
                <w:rFonts w:ascii="宋体" w:hAnsi="宋体" w:cs="Arial Unicode MS"/>
                <w:kern w:val="0"/>
                <w:szCs w:val="21"/>
              </w:rPr>
              <w:t>Sinica</w:t>
            </w:r>
            <w:proofErr w:type="spellEnd"/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8276A0" w:rsidRDefault="00B077C8" w:rsidP="00324775">
            <w:pPr>
              <w:widowControl/>
              <w:spacing w:line="240" w:lineRule="exact"/>
              <w:jc w:val="center"/>
              <w:rPr>
                <w:rFonts w:ascii="宋体" w:hAnsi="宋体" w:cs="Arial Unicode MS"/>
                <w:kern w:val="0"/>
                <w:szCs w:val="21"/>
              </w:rPr>
            </w:pPr>
            <w:r w:rsidRPr="008276A0">
              <w:rPr>
                <w:rFonts w:ascii="宋体" w:hAnsi="宋体" w:cs="Arial Unicode MS"/>
                <w:kern w:val="0"/>
                <w:szCs w:val="21"/>
              </w:rPr>
              <w:t>2015, 31(6): 871-899.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8276A0" w:rsidRDefault="00B077C8" w:rsidP="0032477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76A0">
              <w:rPr>
                <w:rFonts w:ascii="宋体" w:hAnsi="宋体"/>
                <w:color w:val="000000"/>
                <w:szCs w:val="21"/>
              </w:rPr>
              <w:t>SCI</w:t>
            </w:r>
          </w:p>
        </w:tc>
        <w:tc>
          <w:tcPr>
            <w:tcW w:w="496" w:type="pct"/>
            <w:vAlign w:val="center"/>
          </w:tcPr>
          <w:p w:rsidR="00B077C8" w:rsidRPr="008276A0" w:rsidRDefault="00B077C8" w:rsidP="00324775">
            <w:pPr>
              <w:widowControl/>
              <w:spacing w:line="240" w:lineRule="exact"/>
              <w:jc w:val="center"/>
              <w:rPr>
                <w:rFonts w:ascii="宋体" w:hAnsi="宋体" w:cs="Arial Unicode MS"/>
                <w:kern w:val="0"/>
                <w:szCs w:val="21"/>
              </w:rPr>
            </w:pPr>
            <w:r w:rsidRPr="008276A0">
              <w:rPr>
                <w:rFonts w:ascii="宋体" w:hAnsi="宋体" w:cs="Arial Unicode MS" w:hint="eastAsia"/>
                <w:kern w:val="0"/>
                <w:szCs w:val="21"/>
              </w:rPr>
              <w:t>1,1</w:t>
            </w:r>
            <w:r w:rsidRPr="008276A0">
              <w:rPr>
                <w:rFonts w:ascii="宋体" w:hAnsi="宋体" w:hint="eastAsia"/>
                <w:color w:val="000000"/>
                <w:szCs w:val="21"/>
              </w:rPr>
              <w:t>（第1作者，实验室为第1单位）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CB5C37" w:rsidRDefault="00B077C8" w:rsidP="00324775">
            <w:pPr>
              <w:widowControl/>
              <w:spacing w:line="240" w:lineRule="exact"/>
              <w:jc w:val="center"/>
              <w:rPr>
                <w:rFonts w:ascii="宋体" w:hAnsi="宋体" w:cs="Arial Unicode MS"/>
                <w:kern w:val="0"/>
                <w:szCs w:val="21"/>
              </w:rPr>
            </w:pPr>
          </w:p>
        </w:tc>
      </w:tr>
      <w:tr w:rsidR="00B077C8" w:rsidRPr="00371EBB" w:rsidTr="00324775">
        <w:trPr>
          <w:trHeight w:val="81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496" w:type="pct"/>
            <w:vAlign w:val="center"/>
          </w:tcPr>
          <w:p w:rsidR="00B077C8" w:rsidRPr="006A09AF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</w:tr>
      <w:tr w:rsidR="00B077C8" w:rsidRPr="00371EBB" w:rsidTr="00324775">
        <w:trPr>
          <w:trHeight w:val="81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496" w:type="pct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</w:tr>
      <w:tr w:rsidR="00B077C8" w:rsidRPr="00371EBB" w:rsidTr="00324775">
        <w:trPr>
          <w:trHeight w:val="81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496" w:type="pct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</w:tr>
      <w:tr w:rsidR="00B077C8" w:rsidRPr="00371EBB" w:rsidTr="00324775">
        <w:trPr>
          <w:trHeight w:val="81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496" w:type="pct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371EBB" w:rsidRDefault="00B077C8" w:rsidP="00324775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</w:rPr>
            </w:pPr>
          </w:p>
        </w:tc>
      </w:tr>
      <w:tr w:rsidR="00B077C8" w:rsidRPr="00A242BE" w:rsidTr="00324775">
        <w:trPr>
          <w:trHeight w:val="81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  <w:tc>
          <w:tcPr>
            <w:tcW w:w="832" w:type="pct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  <w:tc>
          <w:tcPr>
            <w:tcW w:w="496" w:type="pct"/>
            <w:vAlign w:val="center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B077C8" w:rsidRPr="00A242BE" w:rsidRDefault="00B077C8" w:rsidP="00324775">
            <w:pPr>
              <w:widowControl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</w:p>
        </w:tc>
      </w:tr>
    </w:tbl>
    <w:p w:rsidR="00B077C8" w:rsidRDefault="00B077C8" w:rsidP="00B077C8"/>
    <w:p w:rsidR="00B077C8" w:rsidRDefault="00B077C8" w:rsidP="00B077C8">
      <w:pPr>
        <w:sectPr w:rsidR="00B077C8" w:rsidSect="00E81FD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077C8" w:rsidRDefault="00B077C8" w:rsidP="00B077C8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表</w:t>
      </w:r>
      <w:r>
        <w:rPr>
          <w:rFonts w:ascii="黑体" w:eastAsia="黑体"/>
          <w:sz w:val="28"/>
        </w:rPr>
        <w:t xml:space="preserve">2 </w:t>
      </w:r>
      <w:r w:rsidR="003B584A" w:rsidRPr="00B077C8">
        <w:rPr>
          <w:rFonts w:ascii="黑体" w:eastAsia="黑体"/>
          <w:sz w:val="28"/>
        </w:rPr>
        <w:t>城镇污水深度处理与资源化利用技术国家工程实验室</w:t>
      </w:r>
      <w:r w:rsidR="003B584A">
        <w:rPr>
          <w:rFonts w:ascii="黑体" w:eastAsia="黑体" w:hint="eastAsia"/>
          <w:sz w:val="28"/>
        </w:rPr>
        <w:t>开放基金课题</w:t>
      </w:r>
      <w:r>
        <w:rPr>
          <w:rFonts w:ascii="黑体" w:eastAsia="黑体" w:hint="eastAsia"/>
          <w:sz w:val="28"/>
        </w:rPr>
        <w:t>研究成果目录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0"/>
        <w:gridCol w:w="1879"/>
        <w:gridCol w:w="2755"/>
        <w:gridCol w:w="3129"/>
        <w:gridCol w:w="2253"/>
      </w:tblGrid>
      <w:tr w:rsidR="00B077C8" w:rsidTr="00324775">
        <w:trPr>
          <w:trHeight w:val="782"/>
        </w:trPr>
        <w:tc>
          <w:tcPr>
            <w:tcW w:w="1492" w:type="pct"/>
            <w:vAlign w:val="center"/>
          </w:tcPr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成 果 名 称</w:t>
            </w:r>
          </w:p>
        </w:tc>
        <w:tc>
          <w:tcPr>
            <w:tcW w:w="658" w:type="pct"/>
            <w:vAlign w:val="center"/>
          </w:tcPr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主要完成者</w:t>
            </w:r>
          </w:p>
        </w:tc>
        <w:tc>
          <w:tcPr>
            <w:tcW w:w="965" w:type="pct"/>
            <w:vAlign w:val="center"/>
          </w:tcPr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组织评议、</w:t>
            </w:r>
          </w:p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鉴定单位及日期</w:t>
            </w:r>
          </w:p>
        </w:tc>
        <w:tc>
          <w:tcPr>
            <w:tcW w:w="1096" w:type="pct"/>
            <w:vAlign w:val="center"/>
          </w:tcPr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授奖单位、奖励名称、</w:t>
            </w:r>
          </w:p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等级及日期</w:t>
            </w:r>
          </w:p>
        </w:tc>
        <w:tc>
          <w:tcPr>
            <w:tcW w:w="789" w:type="pct"/>
            <w:vAlign w:val="center"/>
          </w:tcPr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获准专利国别、</w:t>
            </w:r>
          </w:p>
          <w:p w:rsidR="00B077C8" w:rsidRPr="00BA6F47" w:rsidRDefault="00B077C8" w:rsidP="00324775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kern w:val="0"/>
                <w:sz w:val="20"/>
              </w:rPr>
            </w:pPr>
            <w:r w:rsidRPr="00BA6F47">
              <w:rPr>
                <w:rFonts w:ascii="Arial Unicode MS" w:eastAsia="Arial Unicode MS" w:hAnsi="Arial Unicode MS" w:cs="Arial Unicode MS" w:hint="eastAsia"/>
                <w:b/>
                <w:kern w:val="0"/>
                <w:sz w:val="20"/>
              </w:rPr>
              <w:t>类别及专利号</w:t>
            </w:r>
          </w:p>
        </w:tc>
      </w:tr>
      <w:tr w:rsidR="00B077C8" w:rsidTr="00324775">
        <w:trPr>
          <w:trHeight w:val="1076"/>
        </w:trPr>
        <w:tc>
          <w:tcPr>
            <w:tcW w:w="1492" w:type="pct"/>
            <w:vAlign w:val="center"/>
          </w:tcPr>
          <w:p w:rsidR="00B077C8" w:rsidRDefault="00B077C8" w:rsidP="00324775">
            <w:pPr>
              <w:jc w:val="center"/>
            </w:pPr>
            <w:r w:rsidRPr="00E95B00">
              <w:rPr>
                <w:rFonts w:hint="eastAsia"/>
              </w:rPr>
              <w:t>例：</w:t>
            </w:r>
            <w:r w:rsidRPr="00EB69B1">
              <w:rPr>
                <w:rFonts w:hint="eastAsia"/>
              </w:rPr>
              <w:t>基于反射槽波信号的煤巷超前探测断层方法</w:t>
            </w:r>
          </w:p>
        </w:tc>
        <w:tc>
          <w:tcPr>
            <w:tcW w:w="658" w:type="pct"/>
            <w:vAlign w:val="center"/>
          </w:tcPr>
          <w:p w:rsidR="00B077C8" w:rsidRDefault="00B077C8" w:rsidP="00324775">
            <w:pPr>
              <w:jc w:val="center"/>
            </w:pPr>
            <w:r w:rsidRPr="00EB69B1">
              <w:rPr>
                <w:rFonts w:hint="eastAsia"/>
              </w:rPr>
              <w:t>王勃；刘盛东；黄兰英；张夏阳；余森林；路拓；章俊</w:t>
            </w:r>
          </w:p>
        </w:tc>
        <w:tc>
          <w:tcPr>
            <w:tcW w:w="965" w:type="pct"/>
            <w:vAlign w:val="center"/>
          </w:tcPr>
          <w:p w:rsidR="00B077C8" w:rsidRDefault="00B077C8" w:rsidP="00324775">
            <w:pPr>
              <w:jc w:val="center"/>
            </w:pPr>
            <w:r w:rsidRPr="007E6AA3">
              <w:rPr>
                <w:rFonts w:hint="eastAsia"/>
              </w:rPr>
              <w:t>中华人民共和国知识产权局、</w:t>
            </w:r>
            <w:r w:rsidRPr="00625BA5">
              <w:t>2015/9/9</w:t>
            </w:r>
          </w:p>
        </w:tc>
        <w:tc>
          <w:tcPr>
            <w:tcW w:w="1096" w:type="pct"/>
            <w:vAlign w:val="center"/>
          </w:tcPr>
          <w:p w:rsidR="00B077C8" w:rsidRPr="007E6AA3" w:rsidRDefault="00B077C8" w:rsidP="00324775">
            <w:pPr>
              <w:jc w:val="center"/>
            </w:pPr>
          </w:p>
        </w:tc>
        <w:tc>
          <w:tcPr>
            <w:tcW w:w="789" w:type="pct"/>
            <w:vAlign w:val="center"/>
          </w:tcPr>
          <w:p w:rsidR="00B077C8" w:rsidRPr="001753D4" w:rsidRDefault="00B077C8" w:rsidP="00324775">
            <w:pPr>
              <w:jc w:val="center"/>
            </w:pPr>
            <w:r>
              <w:rPr>
                <w:rFonts w:hint="eastAsia"/>
              </w:rPr>
              <w:t>中国，</w:t>
            </w:r>
            <w:r w:rsidRPr="00EB69B1">
              <w:rPr>
                <w:rFonts w:hint="eastAsia"/>
              </w:rPr>
              <w:t>发明专利</w:t>
            </w:r>
            <w:r>
              <w:rPr>
                <w:rFonts w:hint="eastAsia"/>
              </w:rPr>
              <w:t>，</w:t>
            </w:r>
            <w:r w:rsidRPr="00EB69B1">
              <w:t>ZL201310124467.2</w:t>
            </w:r>
          </w:p>
        </w:tc>
      </w:tr>
      <w:tr w:rsidR="00B077C8" w:rsidTr="00324775">
        <w:trPr>
          <w:trHeight w:val="1076"/>
        </w:trPr>
        <w:tc>
          <w:tcPr>
            <w:tcW w:w="1492" w:type="pct"/>
            <w:vAlign w:val="center"/>
          </w:tcPr>
          <w:p w:rsidR="00B077C8" w:rsidRDefault="00B077C8" w:rsidP="00324775">
            <w:pPr>
              <w:jc w:val="center"/>
            </w:pPr>
            <w:r w:rsidRPr="00E95B00">
              <w:rPr>
                <w:rFonts w:hint="eastAsia"/>
              </w:rPr>
              <w:t>例：</w:t>
            </w:r>
            <w:r w:rsidRPr="007E6AA3">
              <w:rPr>
                <w:rFonts w:hint="eastAsia"/>
              </w:rPr>
              <w:t>×××工程抗地震能力研究</w:t>
            </w:r>
          </w:p>
        </w:tc>
        <w:tc>
          <w:tcPr>
            <w:tcW w:w="658" w:type="pct"/>
            <w:vAlign w:val="center"/>
          </w:tcPr>
          <w:p w:rsidR="00B077C8" w:rsidRPr="007E6AA3" w:rsidRDefault="00B077C8" w:rsidP="00324775">
            <w:pPr>
              <w:jc w:val="center"/>
            </w:pPr>
            <w:r w:rsidRPr="007E6AA3">
              <w:rPr>
                <w:rFonts w:hint="eastAsia"/>
              </w:rPr>
              <w:t>×××</w:t>
            </w:r>
          </w:p>
        </w:tc>
        <w:tc>
          <w:tcPr>
            <w:tcW w:w="965" w:type="pct"/>
            <w:vAlign w:val="center"/>
          </w:tcPr>
          <w:p w:rsidR="00B077C8" w:rsidRDefault="00B077C8" w:rsidP="00324775">
            <w:pPr>
              <w:jc w:val="center"/>
            </w:pPr>
            <w:r w:rsidRPr="007E6AA3">
              <w:rPr>
                <w:rFonts w:hint="eastAsia"/>
              </w:rPr>
              <w:t>鉴定会、总参谋部军训部、</w:t>
            </w:r>
            <w:r w:rsidRPr="007E6AA3">
              <w:rPr>
                <w:rFonts w:hint="eastAsia"/>
              </w:rPr>
              <w:t>2011.11</w:t>
            </w:r>
          </w:p>
        </w:tc>
        <w:tc>
          <w:tcPr>
            <w:tcW w:w="1096" w:type="pct"/>
            <w:vAlign w:val="center"/>
          </w:tcPr>
          <w:p w:rsidR="00B077C8" w:rsidRDefault="00B077C8" w:rsidP="00324775">
            <w:pPr>
              <w:jc w:val="center"/>
            </w:pPr>
            <w:r w:rsidRPr="007E6AA3">
              <w:rPr>
                <w:rFonts w:hint="eastAsia"/>
              </w:rPr>
              <w:t>中国人民解放军总参谋部、军队科技进步奖、二等奖、</w:t>
            </w:r>
            <w:r w:rsidRPr="007E6AA3">
              <w:rPr>
                <w:rFonts w:hint="eastAsia"/>
              </w:rPr>
              <w:t>2013.12</w:t>
            </w:r>
          </w:p>
        </w:tc>
        <w:tc>
          <w:tcPr>
            <w:tcW w:w="789" w:type="pct"/>
            <w:vAlign w:val="center"/>
          </w:tcPr>
          <w:p w:rsidR="00B077C8" w:rsidRDefault="00B077C8" w:rsidP="00324775">
            <w:pPr>
              <w:jc w:val="center"/>
            </w:pPr>
          </w:p>
        </w:tc>
      </w:tr>
      <w:tr w:rsidR="00B077C8" w:rsidTr="00324775">
        <w:trPr>
          <w:trHeight w:val="1076"/>
        </w:trPr>
        <w:tc>
          <w:tcPr>
            <w:tcW w:w="1492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658" w:type="pct"/>
            <w:vAlign w:val="center"/>
          </w:tcPr>
          <w:p w:rsidR="00B077C8" w:rsidRPr="001753D4" w:rsidRDefault="00B077C8" w:rsidP="00324775">
            <w:pPr>
              <w:jc w:val="center"/>
            </w:pPr>
          </w:p>
        </w:tc>
        <w:tc>
          <w:tcPr>
            <w:tcW w:w="965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1096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789" w:type="pct"/>
            <w:vAlign w:val="center"/>
          </w:tcPr>
          <w:p w:rsidR="00B077C8" w:rsidRDefault="00B077C8" w:rsidP="00324775">
            <w:pPr>
              <w:jc w:val="center"/>
            </w:pPr>
          </w:p>
        </w:tc>
      </w:tr>
      <w:tr w:rsidR="00B077C8" w:rsidTr="00324775">
        <w:trPr>
          <w:trHeight w:val="1076"/>
        </w:trPr>
        <w:tc>
          <w:tcPr>
            <w:tcW w:w="1492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658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965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1096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789" w:type="pct"/>
            <w:vAlign w:val="center"/>
          </w:tcPr>
          <w:p w:rsidR="00B077C8" w:rsidRDefault="00B077C8" w:rsidP="00324775">
            <w:pPr>
              <w:jc w:val="center"/>
            </w:pPr>
          </w:p>
        </w:tc>
      </w:tr>
      <w:tr w:rsidR="00B077C8" w:rsidTr="00324775">
        <w:trPr>
          <w:trHeight w:val="1076"/>
        </w:trPr>
        <w:tc>
          <w:tcPr>
            <w:tcW w:w="1492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658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965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1096" w:type="pct"/>
            <w:vAlign w:val="center"/>
          </w:tcPr>
          <w:p w:rsidR="00B077C8" w:rsidRDefault="00B077C8" w:rsidP="00324775">
            <w:pPr>
              <w:jc w:val="center"/>
            </w:pPr>
          </w:p>
        </w:tc>
        <w:tc>
          <w:tcPr>
            <w:tcW w:w="789" w:type="pct"/>
            <w:vAlign w:val="center"/>
          </w:tcPr>
          <w:p w:rsidR="00B077C8" w:rsidRDefault="00B077C8" w:rsidP="00324775">
            <w:pPr>
              <w:jc w:val="center"/>
            </w:pPr>
          </w:p>
        </w:tc>
      </w:tr>
    </w:tbl>
    <w:p w:rsidR="00B077C8" w:rsidRPr="00A242BE" w:rsidRDefault="00B077C8" w:rsidP="00B077C8">
      <w:pPr>
        <w:rPr>
          <w:b/>
        </w:rPr>
      </w:pPr>
    </w:p>
    <w:p w:rsidR="00752C1E" w:rsidRPr="00B077C8" w:rsidRDefault="00752C1E" w:rsidP="00B077C8"/>
    <w:sectPr w:rsidR="00752C1E" w:rsidRPr="00B077C8" w:rsidSect="00E81F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8B" w:rsidRDefault="005B028B" w:rsidP="00B077C8">
      <w:r>
        <w:separator/>
      </w:r>
    </w:p>
  </w:endnote>
  <w:endnote w:type="continuationSeparator" w:id="0">
    <w:p w:rsidR="005B028B" w:rsidRDefault="005B028B" w:rsidP="00B0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8B" w:rsidRDefault="005B028B" w:rsidP="00B077C8">
      <w:r>
        <w:separator/>
      </w:r>
    </w:p>
  </w:footnote>
  <w:footnote w:type="continuationSeparator" w:id="0">
    <w:p w:rsidR="005B028B" w:rsidRDefault="005B028B" w:rsidP="00B07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C1E"/>
    <w:rsid w:val="003B584A"/>
    <w:rsid w:val="004E4B5D"/>
    <w:rsid w:val="005B028B"/>
    <w:rsid w:val="00752C1E"/>
    <w:rsid w:val="007A7DB6"/>
    <w:rsid w:val="00B077C8"/>
    <w:rsid w:val="00B63497"/>
    <w:rsid w:val="00CB5C37"/>
    <w:rsid w:val="00FF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2019-04-26T09:45:00Z</dcterms:created>
  <dc:creator>dellq</dc:creator>
  <lastModifiedBy>dellq</lastModifiedBy>
  <dcterms:modified xsi:type="dcterms:W3CDTF">2019-05-03T13:43:00Z</dcterms:modified>
  <revision>4</revision>
</coreProperties>
</file>